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3271DA" w:rsidP="005C2E42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/202</w:t>
            </w:r>
            <w:r w:rsidR="005C2E4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bookmarkEnd w:id="0"/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A02CD1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455"/>
        <w:gridCol w:w="849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D151E2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30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40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60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80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90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1107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120</w:t>
            </w:r>
            <w:r w:rsidR="00D151E2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849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1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C2E42">
        <w:rPr>
          <w:rFonts w:ascii="Arial Narrow" w:hAnsi="Arial Narrow" w:cs="Courier New"/>
          <w:sz w:val="20"/>
          <w:szCs w:val="20"/>
        </w:rPr>
      </w:r>
      <w:r w:rsidR="005C2E42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</w:r>
            <w:r w:rsidR="005C2E42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C2E42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2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3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A02CD1">
        <w:rPr>
          <w:rFonts w:ascii="Arial Narrow" w:hAnsi="Arial Narrow" w:cstheme="minorHAnsi"/>
          <w:b w:val="0"/>
          <w:i w:val="0"/>
          <w:sz w:val="18"/>
          <w:szCs w:val="18"/>
        </w:rPr>
        <w:t>Mártírok útja 53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75790" w:rsidP="00ED0A2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kelt  \* MERGEFORMAT </w:instrText>
      </w:r>
      <w:r>
        <w:rPr>
          <w:rFonts w:ascii="Arial Narrow" w:hAnsi="Arial Narrow"/>
        </w:rPr>
        <w:fldChar w:fldCharType="separate"/>
      </w:r>
      <w:r w:rsidR="00A02CD1" w:rsidRPr="00A02CD1">
        <w:rPr>
          <w:rFonts w:ascii="Arial Narrow" w:hAnsi="Arial Narrow"/>
        </w:rPr>
        <w:t>Zalaegerszeg</w:t>
      </w:r>
      <w:r>
        <w:rPr>
          <w:rFonts w:ascii="Arial Narrow" w:hAnsi="Arial Narrow"/>
        </w:rPr>
        <w:fldChar w:fldCharType="end"/>
      </w:r>
      <w:r w:rsidR="002E0AF6" w:rsidRPr="006043C6">
        <w:rPr>
          <w:rFonts w:ascii="Arial Narrow" w:hAnsi="Arial Narrow"/>
        </w:rPr>
        <w:t>,</w:t>
      </w:r>
      <w:bookmarkStart w:id="4" w:name="Szöveg86"/>
      <w:r w:rsidR="002B761C" w:rsidRPr="00604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dátum  \* MERGEFORMAT </w:instrText>
      </w:r>
      <w:r>
        <w:rPr>
          <w:rFonts w:ascii="Arial Narrow" w:hAnsi="Arial Narrow"/>
        </w:rPr>
        <w:fldChar w:fldCharType="separate"/>
      </w:r>
      <w:r w:rsidR="00A02CD1" w:rsidRPr="00A02CD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fldChar w:fldCharType="end"/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5C2E42">
        <w:rPr>
          <w:rFonts w:ascii="Arial Narrow" w:hAnsi="Arial Narrow"/>
        </w:rPr>
      </w:r>
      <w:r w:rsidR="005C2E42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4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AB" w:rsidRDefault="007668AB" w:rsidP="003C173F">
      <w:pPr>
        <w:spacing w:after="0" w:line="240" w:lineRule="auto"/>
      </w:pPr>
      <w:r>
        <w:separator/>
      </w:r>
    </w:p>
  </w:endnote>
  <w:end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AB" w:rsidRDefault="007668AB" w:rsidP="003C173F">
      <w:pPr>
        <w:spacing w:after="0" w:line="240" w:lineRule="auto"/>
      </w:pPr>
      <w:r>
        <w:separator/>
      </w:r>
    </w:p>
  </w:footnote>
  <w:foot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q2ko//e1vCwrUsSFFnSnTRz0OzUXIYq+nXo+BVAgtJpD2BvrQ4Ba7DE73c5Jf+VPeHNVwveA8pYjtcY3xQcgw==" w:salt="wbHUDBzkoQURBLbtL2dUu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15F6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5CD6"/>
    <w:rsid w:val="002D64A8"/>
    <w:rsid w:val="002E0AF6"/>
    <w:rsid w:val="002E610D"/>
    <w:rsid w:val="002E6747"/>
    <w:rsid w:val="003271DA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2E42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076EE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2CD1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51E2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5A4B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AE24-DEAF-431F-A0B1-C8A77378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2791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Roland</dc:creator>
  <cp:lastModifiedBy>Mazzag Gábor</cp:lastModifiedBy>
  <cp:revision>4</cp:revision>
  <cp:lastPrinted>2020-07-07T09:51:00Z</cp:lastPrinted>
  <dcterms:created xsi:type="dcterms:W3CDTF">2020-07-07T09:50:00Z</dcterms:created>
  <dcterms:modified xsi:type="dcterms:W3CDTF">2021-02-19T13:04:00Z</dcterms:modified>
</cp:coreProperties>
</file>